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57D21" w:rsidRPr="00DA3EC6" w:rsidRDefault="00F57D21" w:rsidP="00024235">
      <w:pPr>
        <w:pStyle w:val="Header"/>
        <w:jc w:val="center"/>
        <w:rPr>
          <w:rFonts w:ascii="FS Albert Arabic" w:hAnsi="FS Albert Arabic" w:cs="FS Albert Arabic"/>
          <w:b/>
          <w:sz w:val="24"/>
          <w:szCs w:val="24"/>
        </w:rPr>
      </w:pPr>
      <w:bookmarkStart w:id="0" w:name="_Toc160876729"/>
      <w:bookmarkStart w:id="1" w:name="_Toc197495960"/>
      <w:bookmarkStart w:id="2" w:name="_Toc254937798"/>
      <w:bookmarkStart w:id="3" w:name="_Toc255911951"/>
      <w:bookmarkStart w:id="4" w:name="_Toc262650543"/>
      <w:bookmarkStart w:id="5" w:name="_Toc367794936"/>
    </w:p>
    <w:tbl>
      <w:tblPr>
        <w:tblStyle w:val="TableGrid"/>
        <w:tblW w:w="9715" w:type="dxa"/>
        <w:tblLayout w:type="fixed"/>
        <w:tblLook w:val="04A0" w:firstRow="1" w:lastRow="0" w:firstColumn="1" w:lastColumn="0" w:noHBand="0" w:noVBand="1"/>
      </w:tblPr>
      <w:tblGrid>
        <w:gridCol w:w="511"/>
        <w:gridCol w:w="5290"/>
        <w:gridCol w:w="584"/>
        <w:gridCol w:w="585"/>
        <w:gridCol w:w="585"/>
        <w:gridCol w:w="2160"/>
      </w:tblGrid>
      <w:tr w:rsidR="007D615C" w:rsidRPr="00DA3EC6" w:rsidTr="00DA3EC6">
        <w:trPr>
          <w:trHeight w:val="296"/>
          <w:tblHeader/>
        </w:trPr>
        <w:tc>
          <w:tcPr>
            <w:tcW w:w="511" w:type="dxa"/>
            <w:vMerge w:val="restart"/>
            <w:shd w:val="clear" w:color="auto" w:fill="BCCF00"/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  <w:color w:val="FFFFFF" w:themeColor="background1"/>
                <w:sz w:val="18"/>
                <w:szCs w:val="18"/>
              </w:rPr>
            </w:pPr>
            <w:r w:rsidRPr="00DA3EC6">
              <w:rPr>
                <w:rFonts w:ascii="FS Albert Arabic" w:hAnsi="FS Albert Arabic" w:cs="FS Albert Arabic"/>
                <w:color w:val="FFFFFF" w:themeColor="background1"/>
                <w:sz w:val="18"/>
                <w:szCs w:val="18"/>
              </w:rPr>
              <w:t>S. No.</w:t>
            </w:r>
          </w:p>
        </w:tc>
        <w:tc>
          <w:tcPr>
            <w:tcW w:w="5290" w:type="dxa"/>
            <w:vMerge w:val="restart"/>
            <w:shd w:val="clear" w:color="auto" w:fill="BCCF00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93" w:right="-129"/>
              <w:jc w:val="center"/>
              <w:rPr>
                <w:rFonts w:ascii="FS Albert Arabic" w:hAnsi="FS Albert Arabic" w:cs="FS Albert Arabic"/>
                <w:color w:val="FFFFFF" w:themeColor="background1"/>
                <w:sz w:val="18"/>
                <w:szCs w:val="18"/>
              </w:rPr>
            </w:pPr>
            <w:r w:rsidRPr="00DA3EC6">
              <w:rPr>
                <w:rFonts w:ascii="FS Albert Arabic" w:hAnsi="FS Albert Arabic" w:cs="FS Albert Arabic"/>
                <w:color w:val="FFFFFF" w:themeColor="background1"/>
                <w:sz w:val="18"/>
                <w:szCs w:val="18"/>
              </w:rPr>
              <w:t>QUESTIONS</w:t>
            </w:r>
          </w:p>
        </w:tc>
        <w:tc>
          <w:tcPr>
            <w:tcW w:w="1754" w:type="dxa"/>
            <w:gridSpan w:val="3"/>
            <w:shd w:val="clear" w:color="auto" w:fill="BCCF00"/>
            <w:vAlign w:val="center"/>
          </w:tcPr>
          <w:p w:rsidR="007D615C" w:rsidRPr="00DA3EC6" w:rsidRDefault="007D615C" w:rsidP="00DB3A63">
            <w:pPr>
              <w:ind w:left="-63" w:right="-94"/>
              <w:jc w:val="center"/>
              <w:rPr>
                <w:rFonts w:ascii="FS Albert Arabic" w:hAnsi="FS Albert Arabic" w:cs="FS Albert Arabic"/>
                <w:color w:val="FFFFFF" w:themeColor="background1"/>
                <w:sz w:val="18"/>
                <w:szCs w:val="18"/>
              </w:rPr>
            </w:pPr>
            <w:r w:rsidRPr="00DA3EC6">
              <w:rPr>
                <w:rFonts w:ascii="FS Albert Arabic" w:hAnsi="FS Albert Arabic" w:cs="FS Albert Arabic"/>
                <w:color w:val="FFFFFF" w:themeColor="background1"/>
                <w:sz w:val="18"/>
                <w:szCs w:val="18"/>
              </w:rPr>
              <w:t>Information Available</w:t>
            </w:r>
          </w:p>
        </w:tc>
        <w:tc>
          <w:tcPr>
            <w:tcW w:w="2160" w:type="dxa"/>
            <w:vMerge w:val="restart"/>
            <w:shd w:val="clear" w:color="auto" w:fill="BCCF00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jc w:val="center"/>
              <w:rPr>
                <w:rFonts w:ascii="FS Albert Arabic" w:hAnsi="FS Albert Arabic" w:cs="FS Albert Arabic"/>
                <w:color w:val="FFFFFF" w:themeColor="background1"/>
                <w:sz w:val="18"/>
                <w:szCs w:val="18"/>
              </w:rPr>
            </w:pPr>
            <w:r w:rsidRPr="00DA3EC6">
              <w:rPr>
                <w:rFonts w:ascii="FS Albert Arabic" w:hAnsi="FS Albert Arabic" w:cs="FS Albert Arabic"/>
                <w:color w:val="FFFFFF" w:themeColor="background1"/>
                <w:sz w:val="18"/>
                <w:szCs w:val="18"/>
              </w:rPr>
              <w:t>REMARKS</w:t>
            </w:r>
          </w:p>
        </w:tc>
      </w:tr>
      <w:tr w:rsidR="007D615C" w:rsidRPr="00DA3EC6" w:rsidTr="00DA3EC6">
        <w:trPr>
          <w:trHeight w:val="251"/>
          <w:tblHeader/>
        </w:trPr>
        <w:tc>
          <w:tcPr>
            <w:tcW w:w="511" w:type="dxa"/>
            <w:vMerge/>
            <w:shd w:val="clear" w:color="auto" w:fill="0070C0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rPr>
                <w:rFonts w:ascii="FS Albert Arabic" w:hAnsi="FS Albert Arabic" w:cs="FS Albert Arabic"/>
                <w:color w:val="FFFFFF" w:themeColor="background1"/>
              </w:rPr>
            </w:pPr>
          </w:p>
        </w:tc>
        <w:tc>
          <w:tcPr>
            <w:tcW w:w="5290" w:type="dxa"/>
            <w:vMerge/>
            <w:shd w:val="clear" w:color="auto" w:fill="0070C0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  <w:color w:val="FFFFFF" w:themeColor="background1"/>
              </w:rPr>
            </w:pPr>
          </w:p>
        </w:tc>
        <w:tc>
          <w:tcPr>
            <w:tcW w:w="584" w:type="dxa"/>
            <w:shd w:val="clear" w:color="auto" w:fill="BCCF00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FFFFFF" w:themeColor="background1"/>
                <w:sz w:val="18"/>
                <w:szCs w:val="18"/>
              </w:rPr>
            </w:pPr>
            <w:r w:rsidRPr="00DA3EC6">
              <w:rPr>
                <w:rFonts w:ascii="FS Albert Arabic" w:hAnsi="FS Albert Arabic" w:cs="FS Albert Arabic"/>
                <w:color w:val="FFFFFF" w:themeColor="background1"/>
                <w:sz w:val="18"/>
                <w:szCs w:val="18"/>
              </w:rPr>
              <w:t>N/A</w:t>
            </w:r>
          </w:p>
        </w:tc>
        <w:tc>
          <w:tcPr>
            <w:tcW w:w="585" w:type="dxa"/>
            <w:shd w:val="clear" w:color="auto" w:fill="BCCF00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FFFFFF" w:themeColor="background1"/>
                <w:sz w:val="18"/>
                <w:szCs w:val="18"/>
              </w:rPr>
            </w:pPr>
            <w:r w:rsidRPr="00DA3EC6">
              <w:rPr>
                <w:rFonts w:ascii="FS Albert Arabic" w:hAnsi="FS Albert Arabic" w:cs="FS Albert Arabic"/>
                <w:color w:val="FFFFFF" w:themeColor="background1"/>
                <w:sz w:val="18"/>
                <w:szCs w:val="18"/>
              </w:rPr>
              <w:t>Yes</w:t>
            </w:r>
          </w:p>
        </w:tc>
        <w:tc>
          <w:tcPr>
            <w:tcW w:w="585" w:type="dxa"/>
            <w:shd w:val="clear" w:color="auto" w:fill="BCCF00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FFFFFF" w:themeColor="background1"/>
                <w:sz w:val="18"/>
                <w:szCs w:val="18"/>
              </w:rPr>
            </w:pPr>
            <w:r w:rsidRPr="00DA3EC6">
              <w:rPr>
                <w:rFonts w:ascii="FS Albert Arabic" w:hAnsi="FS Albert Arabic" w:cs="FS Albert Arabic"/>
                <w:color w:val="FFFFFF" w:themeColor="background1"/>
                <w:sz w:val="18"/>
                <w:szCs w:val="18"/>
              </w:rPr>
              <w:t>No</w:t>
            </w:r>
          </w:p>
        </w:tc>
        <w:tc>
          <w:tcPr>
            <w:tcW w:w="2160" w:type="dxa"/>
            <w:vMerge/>
            <w:shd w:val="clear" w:color="auto" w:fill="0070C0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06" w:right="-102"/>
              <w:jc w:val="center"/>
              <w:rPr>
                <w:rFonts w:ascii="FS Albert Arabic" w:hAnsi="FS Albert Arabic" w:cs="FS Albert Arabic"/>
                <w:color w:val="000000"/>
                <w:sz w:val="18"/>
                <w:szCs w:val="18"/>
              </w:rPr>
            </w:pP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1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  <w:color w:val="000000"/>
              </w:rPr>
              <w:t>Availability of the updated or current Codes, Standards, local authority – Saudi Electricity Company(SEC) basic requirements and guidelines.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2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  <w:color w:val="000000"/>
              </w:rPr>
              <w:t>Have No Objection Certificate (NOC’s) obtained on project ‘Demarcation Plan’?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sz w:val="18"/>
                <w:szCs w:val="18"/>
              </w:rPr>
            </w:pPr>
            <w:r w:rsidRPr="00DA3EC6">
              <w:rPr>
                <w:rFonts w:ascii="FS Albert Arabic" w:hAnsi="FS Albert Arabic" w:cs="FS Albert Arabic"/>
                <w:color w:val="000000"/>
                <w:sz w:val="18"/>
                <w:szCs w:val="18"/>
              </w:rPr>
              <w:t>to ensure SEC to reroute or rearrange the existing utility services (if applicable)</w:t>
            </w: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3</w:t>
            </w:r>
          </w:p>
        </w:tc>
        <w:tc>
          <w:tcPr>
            <w:tcW w:w="5290" w:type="dxa"/>
            <w:shd w:val="clear" w:color="auto" w:fill="auto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  <w:color w:val="000000"/>
              </w:rPr>
              <w:t>Are SEC approval obtained for Estimated Total Connected Load in kW?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4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Are approval obtained to Tie-in to SEC substation?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5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Have the schedule for SEC upgrade meet with the project schedule (if applicable)?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6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Determine details of design documentations to be submitted to utility.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7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  <w:color w:val="000000"/>
              </w:rPr>
              <w:t>Is Single Line Diagram (SLD) submitted and obtained approval from SEC?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8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  <w:color w:val="000000"/>
              </w:rPr>
              <w:t>Is Load Schedules submitted and obtained approval from SEC?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9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  <w:color w:val="000000"/>
              </w:rPr>
              <w:t>Are the substation layout and Feeder cable entry details submitted and obtained approval?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10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  <w:color w:val="000000"/>
              </w:rPr>
              <w:t>Are Metering Requirement and specific metering equipment considered during design and approved by SEC?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11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  <w:color w:val="000000"/>
              </w:rPr>
              <w:t>Have the detail required for the Fault disturbance monitoring requirement (if applicable)?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lastRenderedPageBreak/>
              <w:t>12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  <w:color w:val="000000"/>
              </w:rPr>
              <w:t>Are the details and scope determined for the requirement of Fiber Optic Cable installation and termination (if applicable)?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D615C" w:rsidRPr="00DA3EC6" w:rsidTr="00DB3A63">
        <w:trPr>
          <w:trHeight w:val="269"/>
        </w:trPr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13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  <w:color w:val="000000"/>
              </w:rPr>
              <w:t>Available utility short-circuits current, including values for normal and alternate supply facilities, as well as any anticipated future values (i.e., range of single and three phase-to-ground fault currents, and associated X/R ratios, at the consumer’s point of service).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14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  <w:color w:val="000000"/>
              </w:rPr>
              <w:t>Are the details determined regarding the confirmation on fault level settings or Protection Relay Settings?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15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  <w:color w:val="000000"/>
              </w:rPr>
              <w:t>SCADA RTU Requirement - List of Analog Data and Status (Digital) points required to be sent to utility. Supervisory control requirement, if any. Specific equipment requirement.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16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Do the information available regarding ‘Utility grounding and lightning protection practices?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17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Arrangement for Temporary Power for Construction, (if applicable).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18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DA3EC6">
              <w:rPr>
                <w:rFonts w:ascii="FS Albert Arabic" w:hAnsi="FS Albert Arabic" w:cs="FS Albert Arabic"/>
                <w:color w:val="000000"/>
              </w:rPr>
              <w:t>Telephone Line interface, if any.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19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DA3EC6">
              <w:rPr>
                <w:rFonts w:ascii="FS Albert Arabic" w:hAnsi="FS Albert Arabic" w:cs="FS Albert Arabic"/>
                <w:color w:val="000000"/>
              </w:rPr>
              <w:t>Utility Phase designation and phasor rotation.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20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DA3EC6">
              <w:rPr>
                <w:rFonts w:ascii="FS Albert Arabic" w:hAnsi="FS Albert Arabic" w:cs="FS Albert Arabic"/>
                <w:color w:val="000000"/>
              </w:rPr>
              <w:t>Minimum Power Factor requirement. Power Factor penalties.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21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Expected minimum, maximum, and nominal voltage/frequency at the consumer’s point of service and obtain details regarding time duration on both steady state &amp; transient condition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22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jc w:val="left"/>
              <w:rPr>
                <w:rFonts w:ascii="FS Albert Arabic" w:hAnsi="FS Albert Arabic" w:cs="FS Albert Arabic"/>
                <w:color w:val="000000"/>
              </w:rPr>
            </w:pPr>
            <w:r w:rsidRPr="00DA3EC6">
              <w:rPr>
                <w:rFonts w:ascii="FS Albert Arabic" w:hAnsi="FS Albert Arabic" w:cs="FS Albert Arabic"/>
                <w:color w:val="000000"/>
              </w:rPr>
              <w:t>Specific reclosing practices on both normal and alternate supply facilities.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lastRenderedPageBreak/>
              <w:t>23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jc w:val="left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Power quality requirement - Harmonic content, voltage fluctuation, and current unbalance limits imposed by the utility.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  <w:tr w:rsidR="007D615C" w:rsidRPr="00DA3EC6" w:rsidTr="00DB3A63">
        <w:tc>
          <w:tcPr>
            <w:tcW w:w="511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ind w:left="-120" w:right="-39"/>
              <w:jc w:val="center"/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24</w:t>
            </w:r>
          </w:p>
        </w:tc>
        <w:tc>
          <w:tcPr>
            <w:tcW w:w="5290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rPr>
                <w:rFonts w:ascii="FS Albert Arabic" w:hAnsi="FS Albert Arabic" w:cs="FS Albert Arabic"/>
              </w:rPr>
            </w:pPr>
            <w:r w:rsidRPr="00DA3EC6">
              <w:rPr>
                <w:rFonts w:ascii="FS Albert Arabic" w:hAnsi="FS Albert Arabic" w:cs="FS Albert Arabic"/>
              </w:rPr>
              <w:t>Load shedding requirements.</w:t>
            </w:r>
          </w:p>
        </w:tc>
        <w:tc>
          <w:tcPr>
            <w:tcW w:w="584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585" w:type="dxa"/>
            <w:vAlign w:val="center"/>
          </w:tcPr>
          <w:p w:rsidR="007D615C" w:rsidRPr="00DA3EC6" w:rsidRDefault="007D615C" w:rsidP="00DB3A63">
            <w:pPr>
              <w:tabs>
                <w:tab w:val="left" w:pos="1536"/>
              </w:tabs>
              <w:spacing w:before="60" w:after="60"/>
              <w:ind w:left="-63" w:right="-60"/>
              <w:jc w:val="center"/>
              <w:rPr>
                <w:rFonts w:ascii="FS Albert Arabic" w:hAnsi="FS Albert Arabic" w:cs="FS Albert Arabic"/>
                <w:color w:val="000000"/>
              </w:rPr>
            </w:pPr>
          </w:p>
        </w:tc>
        <w:tc>
          <w:tcPr>
            <w:tcW w:w="2160" w:type="dxa"/>
            <w:vAlign w:val="center"/>
          </w:tcPr>
          <w:p w:rsidR="007D615C" w:rsidRPr="00DA3EC6" w:rsidRDefault="007D615C" w:rsidP="00DB3A63">
            <w:pPr>
              <w:ind w:left="-12" w:right="-102"/>
              <w:jc w:val="left"/>
              <w:rPr>
                <w:rFonts w:ascii="FS Albert Arabic" w:hAnsi="FS Albert Arabic" w:cs="FS Albert Arabic"/>
                <w:color w:val="000000"/>
              </w:rPr>
            </w:pPr>
          </w:p>
        </w:tc>
      </w:tr>
    </w:tbl>
    <w:p w:rsidR="00722FD6" w:rsidRPr="00DA3EC6" w:rsidRDefault="00722FD6" w:rsidP="00FE6CC9">
      <w:pPr>
        <w:pStyle w:val="BodyNormal"/>
        <w:rPr>
          <w:rFonts w:ascii="FS Albert Arabic" w:hAnsi="FS Albert Arabic" w:cs="FS Albert Arabic"/>
        </w:rPr>
      </w:pPr>
      <w:bookmarkStart w:id="6" w:name="_GoBack"/>
      <w:bookmarkEnd w:id="6"/>
    </w:p>
    <w:sectPr w:rsidR="00722FD6" w:rsidRPr="00DA3EC6" w:rsidSect="005B6357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00" w:right="1134" w:bottom="1077" w:left="1418" w:header="432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A0F" w:rsidRDefault="000A6A0F">
      <w:r>
        <w:separator/>
      </w:r>
    </w:p>
    <w:p w:rsidR="000A6A0F" w:rsidRDefault="000A6A0F"/>
  </w:endnote>
  <w:endnote w:type="continuationSeparator" w:id="0">
    <w:p w:rsidR="000A6A0F" w:rsidRDefault="000A6A0F">
      <w:r>
        <w:continuationSeparator/>
      </w:r>
    </w:p>
    <w:p w:rsidR="000A6A0F" w:rsidRDefault="000A6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37E3" w:rsidRPr="00F92124" w:rsidRDefault="00E237E3" w:rsidP="00E237E3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464B01A" wp14:editId="65C49C67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A59E786" id="Straight Connector 3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NOSyQEAAHQDAAAOAAAAZHJzL2Uyb0RvYy54bWysU02P2jAQvVfqf7B8LwmsYN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u8jTks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39562176"/>
        <w:placeholder>
          <w:docPart w:val="933AFCF80B33483691AAE6196F15FA7F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EPM-KEE-TP-000024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503164711"/>
        <w:placeholder>
          <w:docPart w:val="22FEB1AD16FD44F3920EF4E2588C23B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461236097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:rsidR="00E237E3" w:rsidRDefault="00E237E3" w:rsidP="00E237E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E237E3" w:rsidRPr="006900D0" w:rsidRDefault="00E237E3" w:rsidP="00E237E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EC7212" w:rsidRPr="00DA3EC6" w:rsidRDefault="00EC7212" w:rsidP="000B23C2">
    <w:pPr>
      <w:jc w:val="center"/>
      <w:rPr>
        <w:rFonts w:ascii="Calibri" w:hAnsi="Calibri" w:cs="Calibri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D86" w:rsidRPr="0096398D" w:rsidRDefault="00250D86" w:rsidP="00250D86">
    <w:pPr>
      <w:pStyle w:val="Footer"/>
      <w:jc w:val="left"/>
      <w:rPr>
        <w:sz w:val="16"/>
        <w:szCs w:val="16"/>
        <w:lang w:val="en-AU"/>
      </w:rPr>
    </w:pPr>
  </w:p>
  <w:p w:rsidR="00E237E3" w:rsidRPr="00F92124" w:rsidRDefault="00E237E3" w:rsidP="00E237E3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C63283F" wp14:editId="130BC95D">
              <wp:simplePos x="0" y="0"/>
              <wp:positionH relativeFrom="margin">
                <wp:posOffset>-247650</wp:posOffset>
              </wp:positionH>
              <wp:positionV relativeFrom="paragraph">
                <wp:posOffset>175260</wp:posOffset>
              </wp:positionV>
              <wp:extent cx="6162675" cy="0"/>
              <wp:effectExtent l="0" t="0" r="28575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730F983" id="Straight Connector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5pt,13.8pt" to="465.7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1186945163"/>
        <w:placeholder>
          <w:docPart w:val="ABAE46D635B145D09E15675A62C71E29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cs="Arial"/>
            <w:color w:val="7A8D95"/>
            <w:sz w:val="16"/>
            <w:szCs w:val="16"/>
          </w:rPr>
          <w:t>EPM-KEE-TP-000024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482748477"/>
        <w:placeholder>
          <w:docPart w:val="7B2F6FA6B9DD43A38A0D01355E6FAD17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24246015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noProof/>
        <w:color w:val="7A8D95"/>
        <w:sz w:val="16"/>
        <w:szCs w:val="16"/>
      </w:rPr>
      <w:t>3</w:t>
    </w:r>
    <w:r w:rsidRPr="00EA7ADF">
      <w:rPr>
        <w:rFonts w:cs="Arial"/>
        <w:color w:val="7A8D95"/>
        <w:sz w:val="16"/>
        <w:szCs w:val="16"/>
      </w:rPr>
      <w:fldChar w:fldCharType="end"/>
    </w:r>
  </w:p>
  <w:p w:rsidR="00E237E3" w:rsidRDefault="00E237E3" w:rsidP="00E237E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:rsidR="00E237E3" w:rsidRPr="006900D0" w:rsidRDefault="00E237E3" w:rsidP="00E237E3">
    <w:pPr>
      <w:pStyle w:val="Footer"/>
      <w:ind w:left="-426"/>
      <w:jc w:val="left"/>
      <w:rPr>
        <w:rFonts w:cs="Arial"/>
        <w:color w:val="7A8D95"/>
        <w:sz w:val="12"/>
        <w:szCs w:val="12"/>
      </w:rPr>
    </w:pPr>
    <w:r w:rsidRPr="0010705C">
      <w:rPr>
        <w:rFonts w:cs="Arial"/>
        <w:color w:val="7A8D95"/>
        <w:sz w:val="12"/>
        <w:szCs w:val="12"/>
      </w:rPr>
      <w:t xml:space="preserve">This Document is the exclusive property of </w:t>
    </w:r>
    <w:r w:rsidRPr="00BB6942">
      <w:rPr>
        <w:rFonts w:cs="Arial"/>
        <w:color w:val="7A8D95"/>
        <w:sz w:val="12"/>
        <w:szCs w:val="12"/>
      </w:rPr>
      <w:t>Government Expenditure &amp; Projects Efficiency Authority</w:t>
    </w:r>
    <w:r w:rsidRPr="0010705C">
      <w:rPr>
        <w:rFonts w:cs="Arial"/>
        <w:color w:val="7A8D95"/>
        <w:sz w:val="12"/>
        <w:szCs w:val="12"/>
      </w:rPr>
      <w:t>. And is subject to the restrictions set out in the Important Notice contained in this Document.</w:t>
    </w:r>
  </w:p>
  <w:p w:rsidR="00250D86" w:rsidRPr="00583BAF" w:rsidRDefault="00250D86" w:rsidP="00250D86">
    <w:pPr>
      <w:pStyle w:val="Footer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A0F" w:rsidRDefault="000A6A0F">
      <w:r>
        <w:separator/>
      </w:r>
    </w:p>
    <w:p w:rsidR="000A6A0F" w:rsidRDefault="000A6A0F"/>
  </w:footnote>
  <w:footnote w:type="continuationSeparator" w:id="0">
    <w:p w:rsidR="000A6A0F" w:rsidRDefault="000A6A0F">
      <w:r>
        <w:continuationSeparator/>
      </w:r>
    </w:p>
    <w:p w:rsidR="000A6A0F" w:rsidRDefault="000A6A0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5B6357" w:rsidTr="001E29ED">
      <w:tc>
        <w:tcPr>
          <w:tcW w:w="2070" w:type="dxa"/>
        </w:tcPr>
        <w:p w:rsidR="005B6357" w:rsidRDefault="00DA3EC6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3360" behindDoc="0" locked="0" layoutInCell="1" allowOverlap="1" wp14:anchorId="6C69015B" wp14:editId="1365EB36">
                <wp:simplePos x="0" y="0"/>
                <wp:positionH relativeFrom="column">
                  <wp:posOffset>-812800</wp:posOffset>
                </wp:positionH>
                <wp:positionV relativeFrom="paragraph">
                  <wp:posOffset>-121285</wp:posOffset>
                </wp:positionV>
                <wp:extent cx="1609914" cy="704850"/>
                <wp:effectExtent l="0" t="0" r="9525" b="0"/>
                <wp:wrapNone/>
                <wp:docPr id="9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09914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85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1499547510"/>
            <w:placeholder>
              <w:docPart w:val="6F9EF250ADFA42A7A2D5C424F33394FA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5B6357" w:rsidRDefault="00FD1D19" w:rsidP="00AC1B11">
              <w:pPr>
                <w:pStyle w:val="CPDocTitle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Checklist - Interface with Saudi Electricity Company (SEC)</w:t>
              </w:r>
            </w:p>
          </w:sdtContent>
        </w:sdt>
        <w:p w:rsidR="005B6357" w:rsidRPr="006A25F8" w:rsidRDefault="005B6357" w:rsidP="00AC1B11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5B6357" w:rsidRPr="00AC1B11" w:rsidRDefault="005B6357" w:rsidP="00AC1B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37C" w:rsidRDefault="0014237C" w:rsidP="0014237C">
    <w:pPr>
      <w:pStyle w:val="Header"/>
      <w:tabs>
        <w:tab w:val="clear" w:pos="4153"/>
        <w:tab w:val="clear" w:pos="8306"/>
        <w:tab w:val="left" w:pos="1440"/>
      </w:tabs>
    </w:pPr>
    <w:r>
      <w:tab/>
    </w:r>
  </w:p>
  <w:tbl>
    <w:tblPr>
      <w:tblStyle w:val="TableGrid"/>
      <w:tblW w:w="855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485"/>
    </w:tblGrid>
    <w:tr w:rsidR="0014237C" w:rsidTr="00E86E1E">
      <w:tc>
        <w:tcPr>
          <w:tcW w:w="2070" w:type="dxa"/>
        </w:tcPr>
        <w:p w:rsidR="0014237C" w:rsidRDefault="00DA3EC6" w:rsidP="0014237C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61312" behindDoc="0" locked="0" layoutInCell="1" allowOverlap="1" wp14:anchorId="15176EAF" wp14:editId="3EFDDB55">
                <wp:simplePos x="0" y="0"/>
                <wp:positionH relativeFrom="column">
                  <wp:posOffset>-850900</wp:posOffset>
                </wp:positionH>
                <wp:positionV relativeFrom="paragraph">
                  <wp:posOffset>-296545</wp:posOffset>
                </wp:positionV>
                <wp:extent cx="1676400" cy="733959"/>
                <wp:effectExtent l="0" t="0" r="0" b="0"/>
                <wp:wrapNone/>
                <wp:docPr id="1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6400" cy="73395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485" w:type="dxa"/>
          <w:vAlign w:val="center"/>
        </w:tcPr>
        <w:sdt>
          <w:sdtPr>
            <w:rPr>
              <w:rStyle w:val="HeaderTitleChar"/>
              <w:b/>
              <w:bCs w:val="0"/>
            </w:rPr>
            <w:alias w:val="Title"/>
            <w:tag w:val=""/>
            <w:id w:val="1452052077"/>
            <w:placeholder>
              <w:docPart w:val="408E12B8D0DB4F0DA2E87BE8A12988B1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rStyle w:val="HeaderTitleChar"/>
            </w:rPr>
          </w:sdtEndPr>
          <w:sdtContent>
            <w:p w:rsidR="0014237C" w:rsidRDefault="0014237C" w:rsidP="0014237C">
              <w:pPr>
                <w:pStyle w:val="CPDocTitle"/>
                <w:rPr>
                  <w:rStyle w:val="HeaderTitleChar"/>
                  <w:b/>
                  <w:bCs w:val="0"/>
                </w:rPr>
              </w:pPr>
              <w:r>
                <w:rPr>
                  <w:rStyle w:val="HeaderTitleChar"/>
                  <w:b/>
                  <w:bCs w:val="0"/>
                </w:rPr>
                <w:t>Checklist - Interface with Saudi Electricity Company (SEC)</w:t>
              </w:r>
            </w:p>
          </w:sdtContent>
        </w:sdt>
        <w:p w:rsidR="0014237C" w:rsidRPr="006A25F8" w:rsidRDefault="0014237C" w:rsidP="0014237C">
          <w:pPr>
            <w:pStyle w:val="CPDocTitle"/>
            <w:rPr>
              <w:kern w:val="32"/>
              <w:sz w:val="24"/>
              <w:szCs w:val="24"/>
              <w:lang w:val="en-GB"/>
            </w:rPr>
          </w:pPr>
        </w:p>
      </w:tc>
    </w:tr>
  </w:tbl>
  <w:p w:rsidR="0014237C" w:rsidRDefault="0014237C" w:rsidP="0014237C">
    <w:pPr>
      <w:pStyle w:val="Header"/>
      <w:tabs>
        <w:tab w:val="clear" w:pos="4153"/>
        <w:tab w:val="clear" w:pos="8306"/>
        <w:tab w:val="left" w:pos="14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EF2"/>
    <w:rsid w:val="0002341A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4027A"/>
    <w:rsid w:val="00041656"/>
    <w:rsid w:val="00042F74"/>
    <w:rsid w:val="00043268"/>
    <w:rsid w:val="00044245"/>
    <w:rsid w:val="000445E7"/>
    <w:rsid w:val="000451B5"/>
    <w:rsid w:val="00045624"/>
    <w:rsid w:val="000471E1"/>
    <w:rsid w:val="00052750"/>
    <w:rsid w:val="000545A9"/>
    <w:rsid w:val="00054930"/>
    <w:rsid w:val="00054EB8"/>
    <w:rsid w:val="00055EB9"/>
    <w:rsid w:val="0005632D"/>
    <w:rsid w:val="000572E2"/>
    <w:rsid w:val="00060CF1"/>
    <w:rsid w:val="00060F83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90B40"/>
    <w:rsid w:val="00091B0C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64E6"/>
    <w:rsid w:val="000A6A0F"/>
    <w:rsid w:val="000A6D1F"/>
    <w:rsid w:val="000A7EA6"/>
    <w:rsid w:val="000B12AF"/>
    <w:rsid w:val="000B20C8"/>
    <w:rsid w:val="000B23C2"/>
    <w:rsid w:val="000B365D"/>
    <w:rsid w:val="000B43DB"/>
    <w:rsid w:val="000B6287"/>
    <w:rsid w:val="000B7719"/>
    <w:rsid w:val="000C141D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7B7"/>
    <w:rsid w:val="000D58EF"/>
    <w:rsid w:val="000D6D0A"/>
    <w:rsid w:val="000E3163"/>
    <w:rsid w:val="000E3E4E"/>
    <w:rsid w:val="000E6468"/>
    <w:rsid w:val="000E7BCD"/>
    <w:rsid w:val="000F0A74"/>
    <w:rsid w:val="000F1028"/>
    <w:rsid w:val="000F2FC3"/>
    <w:rsid w:val="000F31B1"/>
    <w:rsid w:val="000F6278"/>
    <w:rsid w:val="001007C3"/>
    <w:rsid w:val="00100B50"/>
    <w:rsid w:val="00101835"/>
    <w:rsid w:val="00101884"/>
    <w:rsid w:val="001023A6"/>
    <w:rsid w:val="00102617"/>
    <w:rsid w:val="001033FF"/>
    <w:rsid w:val="001038D3"/>
    <w:rsid w:val="00105AB4"/>
    <w:rsid w:val="00106534"/>
    <w:rsid w:val="0011071D"/>
    <w:rsid w:val="00111D55"/>
    <w:rsid w:val="00112F25"/>
    <w:rsid w:val="00113020"/>
    <w:rsid w:val="00114874"/>
    <w:rsid w:val="00115DDA"/>
    <w:rsid w:val="0011743F"/>
    <w:rsid w:val="00121FFB"/>
    <w:rsid w:val="001240BE"/>
    <w:rsid w:val="001248C2"/>
    <w:rsid w:val="001269A0"/>
    <w:rsid w:val="00131B29"/>
    <w:rsid w:val="00131BAA"/>
    <w:rsid w:val="00131D8A"/>
    <w:rsid w:val="00132F66"/>
    <w:rsid w:val="00133DA4"/>
    <w:rsid w:val="00137ABE"/>
    <w:rsid w:val="00142314"/>
    <w:rsid w:val="0014237C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6134"/>
    <w:rsid w:val="00157D24"/>
    <w:rsid w:val="0016015B"/>
    <w:rsid w:val="001657C6"/>
    <w:rsid w:val="00167CA1"/>
    <w:rsid w:val="00167F5D"/>
    <w:rsid w:val="00170157"/>
    <w:rsid w:val="001702B6"/>
    <w:rsid w:val="00170E89"/>
    <w:rsid w:val="00174132"/>
    <w:rsid w:val="00174D23"/>
    <w:rsid w:val="001776F2"/>
    <w:rsid w:val="00177C49"/>
    <w:rsid w:val="00180543"/>
    <w:rsid w:val="00182402"/>
    <w:rsid w:val="00182A07"/>
    <w:rsid w:val="0018317E"/>
    <w:rsid w:val="0018491B"/>
    <w:rsid w:val="00185C86"/>
    <w:rsid w:val="00187982"/>
    <w:rsid w:val="00190185"/>
    <w:rsid w:val="00190CCD"/>
    <w:rsid w:val="00191ED3"/>
    <w:rsid w:val="001920C0"/>
    <w:rsid w:val="0019546D"/>
    <w:rsid w:val="00196E26"/>
    <w:rsid w:val="00196F56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F14"/>
    <w:rsid w:val="001B5A44"/>
    <w:rsid w:val="001B62F5"/>
    <w:rsid w:val="001B6493"/>
    <w:rsid w:val="001B6927"/>
    <w:rsid w:val="001B78AE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D0AFA"/>
    <w:rsid w:val="001D0F8C"/>
    <w:rsid w:val="001D17A0"/>
    <w:rsid w:val="001D2A9A"/>
    <w:rsid w:val="001D3B26"/>
    <w:rsid w:val="001D3C4C"/>
    <w:rsid w:val="001D5D92"/>
    <w:rsid w:val="001D6426"/>
    <w:rsid w:val="001D75FC"/>
    <w:rsid w:val="001E0766"/>
    <w:rsid w:val="001E1227"/>
    <w:rsid w:val="001E29ED"/>
    <w:rsid w:val="001E4D1A"/>
    <w:rsid w:val="001E5A84"/>
    <w:rsid w:val="001E7047"/>
    <w:rsid w:val="001E7692"/>
    <w:rsid w:val="001E76F7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732A"/>
    <w:rsid w:val="00210768"/>
    <w:rsid w:val="00210D1C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AD1"/>
    <w:rsid w:val="00234BE1"/>
    <w:rsid w:val="00234CA8"/>
    <w:rsid w:val="00235016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ABA"/>
    <w:rsid w:val="00265F2C"/>
    <w:rsid w:val="00266862"/>
    <w:rsid w:val="00267349"/>
    <w:rsid w:val="002732AA"/>
    <w:rsid w:val="002749D3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5C92"/>
    <w:rsid w:val="002A76FE"/>
    <w:rsid w:val="002B224C"/>
    <w:rsid w:val="002B36FA"/>
    <w:rsid w:val="002B3DB8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E71"/>
    <w:rsid w:val="002F7BF3"/>
    <w:rsid w:val="00300652"/>
    <w:rsid w:val="003028D6"/>
    <w:rsid w:val="00302E46"/>
    <w:rsid w:val="0030370B"/>
    <w:rsid w:val="00303EA8"/>
    <w:rsid w:val="00304ED4"/>
    <w:rsid w:val="00305B9E"/>
    <w:rsid w:val="00306488"/>
    <w:rsid w:val="00307395"/>
    <w:rsid w:val="00307663"/>
    <w:rsid w:val="00307B44"/>
    <w:rsid w:val="00307B6E"/>
    <w:rsid w:val="00310CBA"/>
    <w:rsid w:val="003117C5"/>
    <w:rsid w:val="00312B1D"/>
    <w:rsid w:val="0031389B"/>
    <w:rsid w:val="00313CB3"/>
    <w:rsid w:val="00315853"/>
    <w:rsid w:val="00321A23"/>
    <w:rsid w:val="003234D0"/>
    <w:rsid w:val="00323732"/>
    <w:rsid w:val="00324233"/>
    <w:rsid w:val="003243C2"/>
    <w:rsid w:val="003257AE"/>
    <w:rsid w:val="00325C80"/>
    <w:rsid w:val="003261F9"/>
    <w:rsid w:val="00327621"/>
    <w:rsid w:val="0033095B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5240"/>
    <w:rsid w:val="0035547A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E73"/>
    <w:rsid w:val="00391FDD"/>
    <w:rsid w:val="00394E4A"/>
    <w:rsid w:val="00396E88"/>
    <w:rsid w:val="0039763B"/>
    <w:rsid w:val="003A0003"/>
    <w:rsid w:val="003A0BA3"/>
    <w:rsid w:val="003A1857"/>
    <w:rsid w:val="003A1D8B"/>
    <w:rsid w:val="003A2566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D76"/>
    <w:rsid w:val="003F1F64"/>
    <w:rsid w:val="003F4519"/>
    <w:rsid w:val="003F493F"/>
    <w:rsid w:val="003F4F37"/>
    <w:rsid w:val="003F6834"/>
    <w:rsid w:val="003F6D85"/>
    <w:rsid w:val="003F7C5C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C2D"/>
    <w:rsid w:val="00415762"/>
    <w:rsid w:val="0041588C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417C"/>
    <w:rsid w:val="0043439C"/>
    <w:rsid w:val="00436042"/>
    <w:rsid w:val="0043756A"/>
    <w:rsid w:val="00437A59"/>
    <w:rsid w:val="00440563"/>
    <w:rsid w:val="004414BB"/>
    <w:rsid w:val="00441AF1"/>
    <w:rsid w:val="004420E1"/>
    <w:rsid w:val="00442DDD"/>
    <w:rsid w:val="004443A0"/>
    <w:rsid w:val="00444C75"/>
    <w:rsid w:val="00445E98"/>
    <w:rsid w:val="0044687A"/>
    <w:rsid w:val="00446AD7"/>
    <w:rsid w:val="004471AB"/>
    <w:rsid w:val="00450B25"/>
    <w:rsid w:val="00451BAB"/>
    <w:rsid w:val="00452D05"/>
    <w:rsid w:val="0045346F"/>
    <w:rsid w:val="00453CB2"/>
    <w:rsid w:val="00457ADD"/>
    <w:rsid w:val="004606BC"/>
    <w:rsid w:val="00460E68"/>
    <w:rsid w:val="00465DCF"/>
    <w:rsid w:val="00467352"/>
    <w:rsid w:val="004716D9"/>
    <w:rsid w:val="00473DA6"/>
    <w:rsid w:val="00473FF8"/>
    <w:rsid w:val="004740FD"/>
    <w:rsid w:val="004758DB"/>
    <w:rsid w:val="00475EF0"/>
    <w:rsid w:val="00476C2C"/>
    <w:rsid w:val="00477A36"/>
    <w:rsid w:val="004824C3"/>
    <w:rsid w:val="004824D1"/>
    <w:rsid w:val="00483768"/>
    <w:rsid w:val="00484828"/>
    <w:rsid w:val="004854D3"/>
    <w:rsid w:val="004867C0"/>
    <w:rsid w:val="00487475"/>
    <w:rsid w:val="004904D2"/>
    <w:rsid w:val="00491CAA"/>
    <w:rsid w:val="00492642"/>
    <w:rsid w:val="0049398F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D60"/>
    <w:rsid w:val="004D1F9A"/>
    <w:rsid w:val="004D28B8"/>
    <w:rsid w:val="004D3919"/>
    <w:rsid w:val="004D392A"/>
    <w:rsid w:val="004D411F"/>
    <w:rsid w:val="004D5090"/>
    <w:rsid w:val="004D5828"/>
    <w:rsid w:val="004D5BC6"/>
    <w:rsid w:val="004D6BED"/>
    <w:rsid w:val="004E2148"/>
    <w:rsid w:val="004E2E95"/>
    <w:rsid w:val="004E4792"/>
    <w:rsid w:val="004E72AC"/>
    <w:rsid w:val="004F02AE"/>
    <w:rsid w:val="004F0C63"/>
    <w:rsid w:val="004F3981"/>
    <w:rsid w:val="004F612E"/>
    <w:rsid w:val="004F6D3B"/>
    <w:rsid w:val="00501C1A"/>
    <w:rsid w:val="00502100"/>
    <w:rsid w:val="0050329C"/>
    <w:rsid w:val="00504768"/>
    <w:rsid w:val="00505219"/>
    <w:rsid w:val="00506886"/>
    <w:rsid w:val="005079B3"/>
    <w:rsid w:val="00510D40"/>
    <w:rsid w:val="00512F9C"/>
    <w:rsid w:val="00514177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B66"/>
    <w:rsid w:val="005428D5"/>
    <w:rsid w:val="0054534F"/>
    <w:rsid w:val="005465E9"/>
    <w:rsid w:val="00547074"/>
    <w:rsid w:val="0054762F"/>
    <w:rsid w:val="00547DDC"/>
    <w:rsid w:val="00550605"/>
    <w:rsid w:val="00551F20"/>
    <w:rsid w:val="005522B7"/>
    <w:rsid w:val="00555842"/>
    <w:rsid w:val="005560DC"/>
    <w:rsid w:val="00556557"/>
    <w:rsid w:val="00556AE9"/>
    <w:rsid w:val="0056196D"/>
    <w:rsid w:val="00563175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58B"/>
    <w:rsid w:val="00582519"/>
    <w:rsid w:val="0058312C"/>
    <w:rsid w:val="00583321"/>
    <w:rsid w:val="00583A98"/>
    <w:rsid w:val="00583BAF"/>
    <w:rsid w:val="00584CC6"/>
    <w:rsid w:val="005902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716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6452"/>
    <w:rsid w:val="005C6534"/>
    <w:rsid w:val="005C67CE"/>
    <w:rsid w:val="005C69A2"/>
    <w:rsid w:val="005C6CAC"/>
    <w:rsid w:val="005C700F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D03"/>
    <w:rsid w:val="005F5C08"/>
    <w:rsid w:val="005F6A91"/>
    <w:rsid w:val="006003A3"/>
    <w:rsid w:val="0060352F"/>
    <w:rsid w:val="00603B56"/>
    <w:rsid w:val="00603D4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A5C"/>
    <w:rsid w:val="00634E5B"/>
    <w:rsid w:val="006357C5"/>
    <w:rsid w:val="00635A88"/>
    <w:rsid w:val="0063666D"/>
    <w:rsid w:val="0063731B"/>
    <w:rsid w:val="0064052B"/>
    <w:rsid w:val="00640632"/>
    <w:rsid w:val="00641578"/>
    <w:rsid w:val="00641697"/>
    <w:rsid w:val="0064280A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114C"/>
    <w:rsid w:val="006619E7"/>
    <w:rsid w:val="00661A1D"/>
    <w:rsid w:val="00664B46"/>
    <w:rsid w:val="00664DBF"/>
    <w:rsid w:val="00667A9F"/>
    <w:rsid w:val="00667C33"/>
    <w:rsid w:val="006714F2"/>
    <w:rsid w:val="00671F76"/>
    <w:rsid w:val="00673090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B17"/>
    <w:rsid w:val="00690B1F"/>
    <w:rsid w:val="00692DCC"/>
    <w:rsid w:val="00693C58"/>
    <w:rsid w:val="006955E1"/>
    <w:rsid w:val="00697462"/>
    <w:rsid w:val="006A15C8"/>
    <w:rsid w:val="006A25F8"/>
    <w:rsid w:val="006A3406"/>
    <w:rsid w:val="006A35B4"/>
    <w:rsid w:val="006A3E4E"/>
    <w:rsid w:val="006A3E6B"/>
    <w:rsid w:val="006A442D"/>
    <w:rsid w:val="006A5172"/>
    <w:rsid w:val="006A5936"/>
    <w:rsid w:val="006A6A09"/>
    <w:rsid w:val="006B113F"/>
    <w:rsid w:val="006C06FB"/>
    <w:rsid w:val="006C1246"/>
    <w:rsid w:val="006C170C"/>
    <w:rsid w:val="006C2DC4"/>
    <w:rsid w:val="006C54E9"/>
    <w:rsid w:val="006C68A8"/>
    <w:rsid w:val="006C7E9B"/>
    <w:rsid w:val="006D26FE"/>
    <w:rsid w:val="006D2AA9"/>
    <w:rsid w:val="006D2B05"/>
    <w:rsid w:val="006D5E16"/>
    <w:rsid w:val="006D718A"/>
    <w:rsid w:val="006E0946"/>
    <w:rsid w:val="006E2C79"/>
    <w:rsid w:val="006E3698"/>
    <w:rsid w:val="006E5F89"/>
    <w:rsid w:val="006E7C7C"/>
    <w:rsid w:val="006F0DCD"/>
    <w:rsid w:val="006F1207"/>
    <w:rsid w:val="006F22DA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631"/>
    <w:rsid w:val="00705DF2"/>
    <w:rsid w:val="00706A44"/>
    <w:rsid w:val="00706D3D"/>
    <w:rsid w:val="00710554"/>
    <w:rsid w:val="00710B6E"/>
    <w:rsid w:val="00710F8B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FDB"/>
    <w:rsid w:val="00726045"/>
    <w:rsid w:val="007329D7"/>
    <w:rsid w:val="0073303D"/>
    <w:rsid w:val="007348CC"/>
    <w:rsid w:val="00735F70"/>
    <w:rsid w:val="00744550"/>
    <w:rsid w:val="00744AEE"/>
    <w:rsid w:val="00746367"/>
    <w:rsid w:val="0074691D"/>
    <w:rsid w:val="00751681"/>
    <w:rsid w:val="007522D4"/>
    <w:rsid w:val="00752778"/>
    <w:rsid w:val="007531B2"/>
    <w:rsid w:val="00755A6E"/>
    <w:rsid w:val="00757817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85"/>
    <w:rsid w:val="00767442"/>
    <w:rsid w:val="007677B2"/>
    <w:rsid w:val="00770E11"/>
    <w:rsid w:val="00771E0C"/>
    <w:rsid w:val="00772933"/>
    <w:rsid w:val="007741CA"/>
    <w:rsid w:val="007772F3"/>
    <w:rsid w:val="00780258"/>
    <w:rsid w:val="00780A2B"/>
    <w:rsid w:val="00781ADC"/>
    <w:rsid w:val="00782509"/>
    <w:rsid w:val="00782BDC"/>
    <w:rsid w:val="00782BF8"/>
    <w:rsid w:val="00782D18"/>
    <w:rsid w:val="00782F3A"/>
    <w:rsid w:val="0078375E"/>
    <w:rsid w:val="00783D41"/>
    <w:rsid w:val="0078520E"/>
    <w:rsid w:val="007852E1"/>
    <w:rsid w:val="00787066"/>
    <w:rsid w:val="007900CC"/>
    <w:rsid w:val="0079082B"/>
    <w:rsid w:val="0079314D"/>
    <w:rsid w:val="00794442"/>
    <w:rsid w:val="0079497D"/>
    <w:rsid w:val="00794A20"/>
    <w:rsid w:val="00795A87"/>
    <w:rsid w:val="00795C34"/>
    <w:rsid w:val="007979EE"/>
    <w:rsid w:val="007A0983"/>
    <w:rsid w:val="007A0AF6"/>
    <w:rsid w:val="007A5BA9"/>
    <w:rsid w:val="007A78FA"/>
    <w:rsid w:val="007B0D3E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4B4A"/>
    <w:rsid w:val="007D5BF5"/>
    <w:rsid w:val="007D615C"/>
    <w:rsid w:val="007D63D9"/>
    <w:rsid w:val="007D6AFF"/>
    <w:rsid w:val="007D762A"/>
    <w:rsid w:val="007E10A3"/>
    <w:rsid w:val="007E250F"/>
    <w:rsid w:val="007E3C04"/>
    <w:rsid w:val="007E3C29"/>
    <w:rsid w:val="007E65B1"/>
    <w:rsid w:val="007E67CF"/>
    <w:rsid w:val="007E6962"/>
    <w:rsid w:val="007E6B88"/>
    <w:rsid w:val="007E7B31"/>
    <w:rsid w:val="007E7B32"/>
    <w:rsid w:val="007F11A8"/>
    <w:rsid w:val="007F20C8"/>
    <w:rsid w:val="007F2679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C6A"/>
    <w:rsid w:val="00836E72"/>
    <w:rsid w:val="008416C9"/>
    <w:rsid w:val="008416D9"/>
    <w:rsid w:val="00842438"/>
    <w:rsid w:val="008432EA"/>
    <w:rsid w:val="00843C84"/>
    <w:rsid w:val="008504CD"/>
    <w:rsid w:val="0085178D"/>
    <w:rsid w:val="0085295E"/>
    <w:rsid w:val="008544C0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65922"/>
    <w:rsid w:val="008702BA"/>
    <w:rsid w:val="00870DB5"/>
    <w:rsid w:val="00870FD2"/>
    <w:rsid w:val="008712B0"/>
    <w:rsid w:val="008765CB"/>
    <w:rsid w:val="0088397F"/>
    <w:rsid w:val="008878EB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867"/>
    <w:rsid w:val="008A1100"/>
    <w:rsid w:val="008A32DC"/>
    <w:rsid w:val="008A3C6F"/>
    <w:rsid w:val="008A405A"/>
    <w:rsid w:val="008A4150"/>
    <w:rsid w:val="008A7000"/>
    <w:rsid w:val="008A7165"/>
    <w:rsid w:val="008A7DF4"/>
    <w:rsid w:val="008A7E8E"/>
    <w:rsid w:val="008B125B"/>
    <w:rsid w:val="008B1F57"/>
    <w:rsid w:val="008B3045"/>
    <w:rsid w:val="008B32E2"/>
    <w:rsid w:val="008B4853"/>
    <w:rsid w:val="008B64E3"/>
    <w:rsid w:val="008B6909"/>
    <w:rsid w:val="008C0AEC"/>
    <w:rsid w:val="008C1220"/>
    <w:rsid w:val="008C2D42"/>
    <w:rsid w:val="008C479A"/>
    <w:rsid w:val="008C4C3D"/>
    <w:rsid w:val="008C7A3A"/>
    <w:rsid w:val="008D2124"/>
    <w:rsid w:val="008D23BA"/>
    <w:rsid w:val="008D335D"/>
    <w:rsid w:val="008D35D9"/>
    <w:rsid w:val="008D4404"/>
    <w:rsid w:val="008D4B2B"/>
    <w:rsid w:val="008D70A5"/>
    <w:rsid w:val="008D79B6"/>
    <w:rsid w:val="008E06BB"/>
    <w:rsid w:val="008E16A7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139"/>
    <w:rsid w:val="00921B24"/>
    <w:rsid w:val="00922B2D"/>
    <w:rsid w:val="00923865"/>
    <w:rsid w:val="00923A29"/>
    <w:rsid w:val="00924E92"/>
    <w:rsid w:val="0092607B"/>
    <w:rsid w:val="00926C53"/>
    <w:rsid w:val="00927CD9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DF"/>
    <w:rsid w:val="0094759A"/>
    <w:rsid w:val="00950681"/>
    <w:rsid w:val="00950B50"/>
    <w:rsid w:val="00950CF3"/>
    <w:rsid w:val="00951475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218D"/>
    <w:rsid w:val="0099224A"/>
    <w:rsid w:val="009924D7"/>
    <w:rsid w:val="00992993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61F1"/>
    <w:rsid w:val="009B678A"/>
    <w:rsid w:val="009B74DC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AF1"/>
    <w:rsid w:val="009D781A"/>
    <w:rsid w:val="009E0BFF"/>
    <w:rsid w:val="009E10EA"/>
    <w:rsid w:val="009E2CBA"/>
    <w:rsid w:val="009E2D4B"/>
    <w:rsid w:val="009E33B8"/>
    <w:rsid w:val="009E34A4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745E"/>
    <w:rsid w:val="00A100CA"/>
    <w:rsid w:val="00A10691"/>
    <w:rsid w:val="00A107FD"/>
    <w:rsid w:val="00A109E3"/>
    <w:rsid w:val="00A10A73"/>
    <w:rsid w:val="00A10A85"/>
    <w:rsid w:val="00A11EB0"/>
    <w:rsid w:val="00A1351F"/>
    <w:rsid w:val="00A13C3A"/>
    <w:rsid w:val="00A15DA8"/>
    <w:rsid w:val="00A1744A"/>
    <w:rsid w:val="00A17BE2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769C"/>
    <w:rsid w:val="00A37B07"/>
    <w:rsid w:val="00A400EE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B5"/>
    <w:rsid w:val="00A5612B"/>
    <w:rsid w:val="00A56956"/>
    <w:rsid w:val="00A57339"/>
    <w:rsid w:val="00A5737B"/>
    <w:rsid w:val="00A61D93"/>
    <w:rsid w:val="00A61FA4"/>
    <w:rsid w:val="00A66274"/>
    <w:rsid w:val="00A70118"/>
    <w:rsid w:val="00A717B9"/>
    <w:rsid w:val="00A72565"/>
    <w:rsid w:val="00A73F35"/>
    <w:rsid w:val="00A741AB"/>
    <w:rsid w:val="00A75E42"/>
    <w:rsid w:val="00A77EBC"/>
    <w:rsid w:val="00A81279"/>
    <w:rsid w:val="00A81C11"/>
    <w:rsid w:val="00A829AB"/>
    <w:rsid w:val="00A82CAD"/>
    <w:rsid w:val="00A845E8"/>
    <w:rsid w:val="00A846C1"/>
    <w:rsid w:val="00A847EA"/>
    <w:rsid w:val="00A8578A"/>
    <w:rsid w:val="00A876DB"/>
    <w:rsid w:val="00A90114"/>
    <w:rsid w:val="00A92374"/>
    <w:rsid w:val="00A93901"/>
    <w:rsid w:val="00A949B0"/>
    <w:rsid w:val="00A9504B"/>
    <w:rsid w:val="00A961B4"/>
    <w:rsid w:val="00A96909"/>
    <w:rsid w:val="00A96D64"/>
    <w:rsid w:val="00A97337"/>
    <w:rsid w:val="00A97BFE"/>
    <w:rsid w:val="00AA17AD"/>
    <w:rsid w:val="00AA2558"/>
    <w:rsid w:val="00AA2E6A"/>
    <w:rsid w:val="00AA40D1"/>
    <w:rsid w:val="00AA579D"/>
    <w:rsid w:val="00AA611A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F0FF7"/>
    <w:rsid w:val="00AF1333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1398"/>
    <w:rsid w:val="00B31B1C"/>
    <w:rsid w:val="00B32990"/>
    <w:rsid w:val="00B34EBF"/>
    <w:rsid w:val="00B354EA"/>
    <w:rsid w:val="00B36198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509E9"/>
    <w:rsid w:val="00B50C15"/>
    <w:rsid w:val="00B50DC8"/>
    <w:rsid w:val="00B5104F"/>
    <w:rsid w:val="00B518AC"/>
    <w:rsid w:val="00B51CB8"/>
    <w:rsid w:val="00B5346C"/>
    <w:rsid w:val="00B53F03"/>
    <w:rsid w:val="00B546FD"/>
    <w:rsid w:val="00B5740F"/>
    <w:rsid w:val="00B57FE8"/>
    <w:rsid w:val="00B603D9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3B25"/>
    <w:rsid w:val="00BB419D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7342"/>
    <w:rsid w:val="00C1080C"/>
    <w:rsid w:val="00C119C7"/>
    <w:rsid w:val="00C1256A"/>
    <w:rsid w:val="00C16FEA"/>
    <w:rsid w:val="00C1756D"/>
    <w:rsid w:val="00C17B68"/>
    <w:rsid w:val="00C17DC0"/>
    <w:rsid w:val="00C20629"/>
    <w:rsid w:val="00C22676"/>
    <w:rsid w:val="00C24234"/>
    <w:rsid w:val="00C25895"/>
    <w:rsid w:val="00C27CE3"/>
    <w:rsid w:val="00C30558"/>
    <w:rsid w:val="00C31176"/>
    <w:rsid w:val="00C31611"/>
    <w:rsid w:val="00C31774"/>
    <w:rsid w:val="00C336AB"/>
    <w:rsid w:val="00C3400B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443F"/>
    <w:rsid w:val="00C5449E"/>
    <w:rsid w:val="00C544AA"/>
    <w:rsid w:val="00C548DB"/>
    <w:rsid w:val="00C56436"/>
    <w:rsid w:val="00C604A1"/>
    <w:rsid w:val="00C60C2F"/>
    <w:rsid w:val="00C6232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47A8"/>
    <w:rsid w:val="00C8543E"/>
    <w:rsid w:val="00C8638D"/>
    <w:rsid w:val="00C87426"/>
    <w:rsid w:val="00C87D98"/>
    <w:rsid w:val="00C902D2"/>
    <w:rsid w:val="00C907D1"/>
    <w:rsid w:val="00C9096C"/>
    <w:rsid w:val="00C910C6"/>
    <w:rsid w:val="00C91774"/>
    <w:rsid w:val="00C92791"/>
    <w:rsid w:val="00C92DBB"/>
    <w:rsid w:val="00C95609"/>
    <w:rsid w:val="00C96049"/>
    <w:rsid w:val="00C96821"/>
    <w:rsid w:val="00C977F2"/>
    <w:rsid w:val="00CA011E"/>
    <w:rsid w:val="00CA1723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BB4"/>
    <w:rsid w:val="00CD1283"/>
    <w:rsid w:val="00CD1426"/>
    <w:rsid w:val="00CD2012"/>
    <w:rsid w:val="00CD29CD"/>
    <w:rsid w:val="00CD33BA"/>
    <w:rsid w:val="00CD3E3B"/>
    <w:rsid w:val="00CD5023"/>
    <w:rsid w:val="00CD62F8"/>
    <w:rsid w:val="00CE1213"/>
    <w:rsid w:val="00CE1A6F"/>
    <w:rsid w:val="00CE1D2D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6A7F"/>
    <w:rsid w:val="00D132CA"/>
    <w:rsid w:val="00D1419E"/>
    <w:rsid w:val="00D14FE1"/>
    <w:rsid w:val="00D156CC"/>
    <w:rsid w:val="00D171C9"/>
    <w:rsid w:val="00D17ECC"/>
    <w:rsid w:val="00D203BF"/>
    <w:rsid w:val="00D2144D"/>
    <w:rsid w:val="00D21992"/>
    <w:rsid w:val="00D21A19"/>
    <w:rsid w:val="00D22E95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E31"/>
    <w:rsid w:val="00D42EBE"/>
    <w:rsid w:val="00D44160"/>
    <w:rsid w:val="00D4670D"/>
    <w:rsid w:val="00D47B39"/>
    <w:rsid w:val="00D517B0"/>
    <w:rsid w:val="00D52C06"/>
    <w:rsid w:val="00D54818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18AA"/>
    <w:rsid w:val="00D9192A"/>
    <w:rsid w:val="00D931A2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3EC6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33E9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3C98"/>
    <w:rsid w:val="00DF52DF"/>
    <w:rsid w:val="00DF708F"/>
    <w:rsid w:val="00E0225A"/>
    <w:rsid w:val="00E02539"/>
    <w:rsid w:val="00E03833"/>
    <w:rsid w:val="00E05611"/>
    <w:rsid w:val="00E057AE"/>
    <w:rsid w:val="00E0795B"/>
    <w:rsid w:val="00E1010B"/>
    <w:rsid w:val="00E103FE"/>
    <w:rsid w:val="00E10D5F"/>
    <w:rsid w:val="00E10EAA"/>
    <w:rsid w:val="00E1214A"/>
    <w:rsid w:val="00E12BBA"/>
    <w:rsid w:val="00E154B9"/>
    <w:rsid w:val="00E15578"/>
    <w:rsid w:val="00E1646D"/>
    <w:rsid w:val="00E20C29"/>
    <w:rsid w:val="00E2374E"/>
    <w:rsid w:val="00E237E3"/>
    <w:rsid w:val="00E241C8"/>
    <w:rsid w:val="00E25F39"/>
    <w:rsid w:val="00E26997"/>
    <w:rsid w:val="00E32D3B"/>
    <w:rsid w:val="00E335F1"/>
    <w:rsid w:val="00E33DF1"/>
    <w:rsid w:val="00E40EA9"/>
    <w:rsid w:val="00E42657"/>
    <w:rsid w:val="00E43C88"/>
    <w:rsid w:val="00E46B4F"/>
    <w:rsid w:val="00E47AB8"/>
    <w:rsid w:val="00E5007C"/>
    <w:rsid w:val="00E52131"/>
    <w:rsid w:val="00E521CF"/>
    <w:rsid w:val="00E5289F"/>
    <w:rsid w:val="00E535C6"/>
    <w:rsid w:val="00E551F7"/>
    <w:rsid w:val="00E5706F"/>
    <w:rsid w:val="00E570E6"/>
    <w:rsid w:val="00E578AE"/>
    <w:rsid w:val="00E57F99"/>
    <w:rsid w:val="00E662DA"/>
    <w:rsid w:val="00E67275"/>
    <w:rsid w:val="00E6745A"/>
    <w:rsid w:val="00E720EE"/>
    <w:rsid w:val="00E756F6"/>
    <w:rsid w:val="00E758DA"/>
    <w:rsid w:val="00E7627D"/>
    <w:rsid w:val="00E76629"/>
    <w:rsid w:val="00E76928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504E"/>
    <w:rsid w:val="00EA54B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AE8"/>
    <w:rsid w:val="00EC029F"/>
    <w:rsid w:val="00EC1F89"/>
    <w:rsid w:val="00EC61BA"/>
    <w:rsid w:val="00EC653C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E2693"/>
    <w:rsid w:val="00EE3543"/>
    <w:rsid w:val="00EE39CC"/>
    <w:rsid w:val="00EE3C69"/>
    <w:rsid w:val="00EE5254"/>
    <w:rsid w:val="00EE610D"/>
    <w:rsid w:val="00EE697D"/>
    <w:rsid w:val="00EE72E7"/>
    <w:rsid w:val="00EE7C7C"/>
    <w:rsid w:val="00EE7F9D"/>
    <w:rsid w:val="00EF1B14"/>
    <w:rsid w:val="00EF3B2A"/>
    <w:rsid w:val="00EF59A8"/>
    <w:rsid w:val="00EF683E"/>
    <w:rsid w:val="00EF6887"/>
    <w:rsid w:val="00F003F8"/>
    <w:rsid w:val="00F016AE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8F6"/>
    <w:rsid w:val="00F368C9"/>
    <w:rsid w:val="00F369F7"/>
    <w:rsid w:val="00F40BEC"/>
    <w:rsid w:val="00F42219"/>
    <w:rsid w:val="00F4245A"/>
    <w:rsid w:val="00F428CA"/>
    <w:rsid w:val="00F44F72"/>
    <w:rsid w:val="00F46105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75C"/>
    <w:rsid w:val="00F713FB"/>
    <w:rsid w:val="00F744D6"/>
    <w:rsid w:val="00F75EF0"/>
    <w:rsid w:val="00F764F4"/>
    <w:rsid w:val="00F76755"/>
    <w:rsid w:val="00F76DD1"/>
    <w:rsid w:val="00F76E27"/>
    <w:rsid w:val="00F831E9"/>
    <w:rsid w:val="00F85252"/>
    <w:rsid w:val="00F8652C"/>
    <w:rsid w:val="00F87CF8"/>
    <w:rsid w:val="00F90987"/>
    <w:rsid w:val="00F91BBC"/>
    <w:rsid w:val="00F938EB"/>
    <w:rsid w:val="00F97175"/>
    <w:rsid w:val="00FA04B8"/>
    <w:rsid w:val="00FA0522"/>
    <w:rsid w:val="00FA0892"/>
    <w:rsid w:val="00FA2094"/>
    <w:rsid w:val="00FA2A44"/>
    <w:rsid w:val="00FA59EA"/>
    <w:rsid w:val="00FA6318"/>
    <w:rsid w:val="00FA6C03"/>
    <w:rsid w:val="00FA7658"/>
    <w:rsid w:val="00FA7D02"/>
    <w:rsid w:val="00FB19AF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D1D19"/>
    <w:rsid w:val="00FD39FA"/>
    <w:rsid w:val="00FD4C8D"/>
    <w:rsid w:val="00FD569E"/>
    <w:rsid w:val="00FD5D61"/>
    <w:rsid w:val="00FD6B1C"/>
    <w:rsid w:val="00FD72A1"/>
    <w:rsid w:val="00FE1484"/>
    <w:rsid w:val="00FE1AA2"/>
    <w:rsid w:val="00FE1AB0"/>
    <w:rsid w:val="00FE478F"/>
    <w:rsid w:val="00FE4F9B"/>
    <w:rsid w:val="00FE6CC9"/>
    <w:rsid w:val="00FF04D8"/>
    <w:rsid w:val="00FF1628"/>
    <w:rsid w:val="00FF17FD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8553C5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6619E7"/>
    <w:pPr>
      <w:tabs>
        <w:tab w:val="right" w:leader="dot" w:pos="9345"/>
      </w:tabs>
      <w:spacing w:before="120" w:after="120"/>
      <w:ind w:left="576" w:right="432" w:hanging="576"/>
      <w:jc w:val="left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6619E7"/>
    <w:pPr>
      <w:ind w:left="576" w:right="432" w:hanging="576"/>
      <w:jc w:val="left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6619E7"/>
    <w:pPr>
      <w:ind w:left="1152" w:right="432" w:hanging="576"/>
      <w:jc w:val="left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6619E7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9EF250ADFA42A7A2D5C424F33394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7839F-51AB-4D00-8BC0-62C6178D0082}"/>
      </w:docPartPr>
      <w:docPartBody>
        <w:p w:rsidR="00C45B13" w:rsidRDefault="00B40D9E" w:rsidP="00B40D9E">
          <w:pPr>
            <w:pStyle w:val="6F9EF250ADFA42A7A2D5C424F33394FA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408E12B8D0DB4F0DA2E87BE8A12988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29610-8A1A-47E2-978A-9045F9E6C669}"/>
      </w:docPartPr>
      <w:docPartBody>
        <w:p w:rsidR="000B4F55" w:rsidRDefault="00F136DC" w:rsidP="00F136DC">
          <w:pPr>
            <w:pStyle w:val="408E12B8D0DB4F0DA2E87BE8A12988B1"/>
          </w:pPr>
          <w:r w:rsidRPr="00DB1177">
            <w:rPr>
              <w:rStyle w:val="PlaceholderText"/>
            </w:rPr>
            <w:t>[Title]</w:t>
          </w:r>
        </w:p>
      </w:docPartBody>
    </w:docPart>
    <w:docPart>
      <w:docPartPr>
        <w:name w:val="ABAE46D635B145D09E15675A62C71E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5198F-C3FD-4AB9-B7F1-A07DECAB5909}"/>
      </w:docPartPr>
      <w:docPartBody>
        <w:p w:rsidR="00000000" w:rsidRDefault="00ED33DA" w:rsidP="00ED33DA">
          <w:pPr>
            <w:pStyle w:val="ABAE46D635B145D09E15675A62C71E29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7B2F6FA6B9DD43A38A0D01355E6FA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AE578-35C4-4B4F-8BFB-5D83947D7085}"/>
      </w:docPartPr>
      <w:docPartBody>
        <w:p w:rsidR="00000000" w:rsidRDefault="00ED33DA" w:rsidP="00ED33DA">
          <w:pPr>
            <w:pStyle w:val="7B2F6FA6B9DD43A38A0D01355E6FAD17"/>
          </w:pPr>
          <w:r w:rsidRPr="00D16477">
            <w:rPr>
              <w:rStyle w:val="PlaceholderText"/>
            </w:rPr>
            <w:t>[Rev]</w:t>
          </w:r>
        </w:p>
      </w:docPartBody>
    </w:docPart>
    <w:docPart>
      <w:docPartPr>
        <w:name w:val="933AFCF80B33483691AAE6196F15F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90933-4E51-4AF2-979F-CD60D559C6FA}"/>
      </w:docPartPr>
      <w:docPartBody>
        <w:p w:rsidR="00000000" w:rsidRDefault="00ED33DA" w:rsidP="00ED33DA">
          <w:pPr>
            <w:pStyle w:val="933AFCF80B33483691AAE6196F15FA7F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22FEB1AD16FD44F3920EF4E2588C2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A9CE8-4E9F-4EDB-8198-D9C76C4C26FE}"/>
      </w:docPartPr>
      <w:docPartBody>
        <w:p w:rsidR="00000000" w:rsidRDefault="00ED33DA" w:rsidP="00ED33DA">
          <w:pPr>
            <w:pStyle w:val="22FEB1AD16FD44F3920EF4E2588C23BC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S Albert Arabic">
    <w:panose1 w:val="020B0503040502020804"/>
    <w:charset w:val="00"/>
    <w:family w:val="swiss"/>
    <w:notTrueType/>
    <w:pitch w:val="variable"/>
    <w:sig w:usb0="800020A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D9E"/>
    <w:rsid w:val="000B4F55"/>
    <w:rsid w:val="00363B35"/>
    <w:rsid w:val="00446EAF"/>
    <w:rsid w:val="00481215"/>
    <w:rsid w:val="00820C17"/>
    <w:rsid w:val="008962E7"/>
    <w:rsid w:val="008F7A26"/>
    <w:rsid w:val="00922F7E"/>
    <w:rsid w:val="00982ED1"/>
    <w:rsid w:val="00992D6E"/>
    <w:rsid w:val="00A06EAC"/>
    <w:rsid w:val="00A926B3"/>
    <w:rsid w:val="00A9701E"/>
    <w:rsid w:val="00B13020"/>
    <w:rsid w:val="00B40D9E"/>
    <w:rsid w:val="00BA62CB"/>
    <w:rsid w:val="00C41E9C"/>
    <w:rsid w:val="00C45B13"/>
    <w:rsid w:val="00D20C9B"/>
    <w:rsid w:val="00D41F1F"/>
    <w:rsid w:val="00E9387F"/>
    <w:rsid w:val="00ED33DA"/>
    <w:rsid w:val="00F1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D33DA"/>
    <w:rPr>
      <w:color w:val="808080"/>
    </w:rPr>
  </w:style>
  <w:style w:type="paragraph" w:customStyle="1" w:styleId="D0553843E0CC4DE2898431C384DDB405">
    <w:name w:val="D0553843E0CC4DE2898431C384DDB405"/>
  </w:style>
  <w:style w:type="paragraph" w:customStyle="1" w:styleId="44C6BB1A0D2D4C3BA799C9072F0E88A4">
    <w:name w:val="44C6BB1A0D2D4C3BA799C9072F0E88A4"/>
  </w:style>
  <w:style w:type="paragraph" w:customStyle="1" w:styleId="16E99BAD096945B8896972C27703F32B">
    <w:name w:val="16E99BAD096945B8896972C27703F32B"/>
  </w:style>
  <w:style w:type="paragraph" w:customStyle="1" w:styleId="50FB07F7288A49AB8BADBAADB7016D88">
    <w:name w:val="50FB07F7288A49AB8BADBAADB7016D88"/>
  </w:style>
  <w:style w:type="paragraph" w:customStyle="1" w:styleId="0DDFC0693A74440ABA609960FEA42A11">
    <w:name w:val="0DDFC0693A74440ABA609960FEA42A11"/>
  </w:style>
  <w:style w:type="paragraph" w:customStyle="1" w:styleId="6F9EF250ADFA42A7A2D5C424F33394FA">
    <w:name w:val="6F9EF250ADFA42A7A2D5C424F33394FA"/>
    <w:rsid w:val="00B40D9E"/>
  </w:style>
  <w:style w:type="paragraph" w:customStyle="1" w:styleId="408E12B8D0DB4F0DA2E87BE8A12988B1">
    <w:name w:val="408E12B8D0DB4F0DA2E87BE8A12988B1"/>
    <w:rsid w:val="00F136DC"/>
  </w:style>
  <w:style w:type="paragraph" w:customStyle="1" w:styleId="ABAE46D635B145D09E15675A62C71E29">
    <w:name w:val="ABAE46D635B145D09E15675A62C71E29"/>
    <w:rsid w:val="00ED33DA"/>
  </w:style>
  <w:style w:type="paragraph" w:customStyle="1" w:styleId="7B2F6FA6B9DD43A38A0D01355E6FAD17">
    <w:name w:val="7B2F6FA6B9DD43A38A0D01355E6FAD17"/>
    <w:rsid w:val="00ED33DA"/>
  </w:style>
  <w:style w:type="paragraph" w:customStyle="1" w:styleId="933AFCF80B33483691AAE6196F15FA7F">
    <w:name w:val="933AFCF80B33483691AAE6196F15FA7F"/>
    <w:rsid w:val="00ED33DA"/>
  </w:style>
  <w:style w:type="paragraph" w:customStyle="1" w:styleId="22FEB1AD16FD44F3920EF4E2588C23BC">
    <w:name w:val="22FEB1AD16FD44F3920EF4E2588C23BC"/>
    <w:rsid w:val="00ED3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55CE0-3FF4-445F-9ACC-14835C27F6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F32FEE13-AF62-48AB-A947-075397610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0</TotalTime>
  <Pages>3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 - Interface with Saudi Electricity Company (SEC)</vt:lpstr>
    </vt:vector>
  </TitlesOfParts>
  <Company>Bechtel/EDS</Company>
  <LinksUpToDate>false</LinksUpToDate>
  <CharactersWithSpaces>2617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- Interface with Saudi Electricity Company (SEC)</dc:title>
  <dc:subject>EPM-KEE-TP-000024</dc:subject>
  <dc:creator>Rivamonte, Leonnito (RMP)</dc:creator>
  <cp:keywords>ᅟ</cp:keywords>
  <cp:lastModifiedBy>Alanoud Alheraishy العنود الحريشي</cp:lastModifiedBy>
  <cp:revision>4</cp:revision>
  <cp:lastPrinted>2017-09-27T14:13:00Z</cp:lastPrinted>
  <dcterms:created xsi:type="dcterms:W3CDTF">2021-07-05T06:40:00Z</dcterms:created>
  <dcterms:modified xsi:type="dcterms:W3CDTF">2021-08-02T12:08:00Z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